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0B" w:rsidRDefault="009C160B" w:rsidP="00B5691E">
      <w:pPr>
        <w:spacing w:after="0" w:line="240" w:lineRule="auto"/>
        <w:jc w:val="center"/>
        <w:rPr>
          <w:rFonts w:ascii="Verdana" w:eastAsia="Times New Roman" w:hAnsi="Verdana" w:cs="Arial"/>
          <w:noProof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6CEE6735" wp14:editId="10FA3DE4">
            <wp:extent cx="1022350" cy="723900"/>
            <wp:effectExtent l="0" t="0" r="6350" b="0"/>
            <wp:docPr id="1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50EAE" w:rsidRDefault="00050EAE" w:rsidP="00050EAE">
      <w:pPr>
        <w:spacing w:line="252" w:lineRule="auto"/>
        <w:jc w:val="center"/>
        <w:rPr>
          <w:rFonts w:ascii="Verdana" w:hAnsi="Verdana"/>
          <w:b/>
          <w:sz w:val="40"/>
          <w:szCs w:val="40"/>
        </w:rPr>
      </w:pPr>
    </w:p>
    <w:p w:rsidR="009C160B" w:rsidRDefault="009C160B" w:rsidP="00B5691E">
      <w:pPr>
        <w:spacing w:after="0" w:line="240" w:lineRule="auto"/>
        <w:jc w:val="center"/>
        <w:rPr>
          <w:rFonts w:ascii="Verdana" w:eastAsia="Times New Roman" w:hAnsi="Verdana" w:cs="Arial"/>
          <w:noProof/>
          <w:sz w:val="20"/>
          <w:szCs w:val="20"/>
          <w:lang w:eastAsia="it-IT"/>
        </w:rPr>
      </w:pPr>
    </w:p>
    <w:p w:rsidR="00B5691E" w:rsidRPr="00B5691E" w:rsidRDefault="00B5691E" w:rsidP="00B569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B5691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COMUNE DI </w:t>
      </w:r>
      <w:r w:rsidR="00C63839">
        <w:rPr>
          <w:rFonts w:ascii="Verdana" w:eastAsia="Times New Roman" w:hAnsi="Verdana" w:cs="Times New Roman"/>
          <w:b/>
          <w:sz w:val="20"/>
          <w:szCs w:val="20"/>
          <w:lang w:eastAsia="it-IT"/>
        </w:rPr>
        <w:t>ROVAT</w:t>
      </w:r>
      <w:r w:rsidRPr="00B5691E">
        <w:rPr>
          <w:rFonts w:ascii="Verdana" w:eastAsia="Times New Roman" w:hAnsi="Verdana" w:cs="Times New Roman"/>
          <w:b/>
          <w:sz w:val="20"/>
          <w:szCs w:val="20"/>
          <w:lang w:eastAsia="it-IT"/>
        </w:rPr>
        <w:t>O</w:t>
      </w:r>
    </w:p>
    <w:p w:rsidR="00B5691E" w:rsidRPr="00A0175B" w:rsidRDefault="00B5691E" w:rsidP="00B569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Via 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Lamarmora, 3 – 25038</w:t>
      </w: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Rovat</w:t>
      </w: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>o – BS</w:t>
      </w:r>
    </w:p>
    <w:p w:rsidR="00B5691E" w:rsidRPr="00A0175B" w:rsidRDefault="00B5691E" w:rsidP="00B5691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proofErr w:type="spellStart"/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>Tel</w:t>
      </w:r>
      <w:proofErr w:type="spellEnd"/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030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77131</w:t>
      </w: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– Fax 030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7713217</w:t>
      </w:r>
    </w:p>
    <w:p w:rsidR="00B5691E" w:rsidRPr="00A0175B" w:rsidRDefault="00C63839" w:rsidP="00B5691E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it-IT"/>
        </w:rPr>
        <w:t>E-mail protocollo@comune.rovat</w:t>
      </w:r>
      <w:r w:rsidR="00B5691E"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o.bs.it – </w:t>
      </w:r>
      <w:r>
        <w:rPr>
          <w:rFonts w:ascii="Verdana" w:eastAsia="Times New Roman" w:hAnsi="Verdana" w:cs="Times New Roman"/>
          <w:b/>
          <w:sz w:val="16"/>
          <w:szCs w:val="16"/>
          <w:lang w:eastAsia="it-IT"/>
        </w:rPr>
        <w:t>PEC protocollo@pec.comune.rovat</w:t>
      </w:r>
      <w:r w:rsidR="00B5691E"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>o.bs.it</w:t>
      </w:r>
    </w:p>
    <w:p w:rsidR="00B5691E" w:rsidRPr="00B5691E" w:rsidRDefault="00B5691E" w:rsidP="00B569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0175B" w:rsidRPr="00A0175B" w:rsidRDefault="00A0175B" w:rsidP="00A0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0175B">
        <w:rPr>
          <w:rFonts w:ascii="Verdana" w:eastAsia="Times New Roman" w:hAnsi="Verdana" w:cs="Times New Roman"/>
          <w:b/>
          <w:sz w:val="20"/>
          <w:szCs w:val="20"/>
          <w:lang w:eastAsia="it-IT"/>
        </w:rPr>
        <w:t>APPALTO DEL SERVIZIO DI TESORERIA E</w:t>
      </w:r>
      <w:r w:rsidR="007B6F5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CASSA PER IL PERIODO 01/07</w:t>
      </w:r>
      <w:r w:rsidR="00C63839">
        <w:rPr>
          <w:rFonts w:ascii="Verdana" w:eastAsia="Times New Roman" w:hAnsi="Verdana" w:cs="Times New Roman"/>
          <w:b/>
          <w:sz w:val="20"/>
          <w:szCs w:val="20"/>
          <w:lang w:eastAsia="it-IT"/>
        </w:rPr>
        <w:t>/2020 – 31/12/2024</w:t>
      </w:r>
      <w:r w:rsidRPr="00A0175B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. </w:t>
      </w:r>
      <w:r w:rsidRPr="008947D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CIG </w:t>
      </w:r>
      <w:r w:rsidR="00D70B12" w:rsidRPr="008947D9">
        <w:rPr>
          <w:rFonts w:ascii="Verdana" w:eastAsia="Times New Roman" w:hAnsi="Verdana" w:cs="Times New Roman"/>
          <w:b/>
          <w:sz w:val="20"/>
          <w:szCs w:val="20"/>
          <w:lang w:eastAsia="it-IT"/>
        </w:rPr>
        <w:t>8</w:t>
      </w:r>
      <w:r w:rsidR="008947D9" w:rsidRPr="008947D9">
        <w:rPr>
          <w:rFonts w:ascii="Verdana" w:eastAsia="Times New Roman" w:hAnsi="Verdana" w:cs="Times New Roman"/>
          <w:b/>
          <w:sz w:val="20"/>
          <w:szCs w:val="20"/>
          <w:lang w:eastAsia="it-IT"/>
        </w:rPr>
        <w:t>283</w:t>
      </w:r>
      <w:r w:rsidR="00C6685C" w:rsidRPr="008947D9">
        <w:rPr>
          <w:rFonts w:ascii="Verdana" w:eastAsia="Times New Roman" w:hAnsi="Verdana" w:cs="Times New Roman"/>
          <w:b/>
          <w:sz w:val="20"/>
          <w:szCs w:val="20"/>
          <w:lang w:eastAsia="it-IT"/>
        </w:rPr>
        <w:t>17</w:t>
      </w:r>
      <w:r w:rsidR="008947D9" w:rsidRPr="008947D9">
        <w:rPr>
          <w:rFonts w:ascii="Verdana" w:eastAsia="Times New Roman" w:hAnsi="Verdana" w:cs="Times New Roman"/>
          <w:b/>
          <w:sz w:val="20"/>
          <w:szCs w:val="20"/>
          <w:lang w:eastAsia="it-IT"/>
        </w:rPr>
        <w:t>21C</w:t>
      </w:r>
      <w:r w:rsidR="00D70B12" w:rsidRPr="008947D9">
        <w:rPr>
          <w:rFonts w:ascii="Verdana" w:eastAsia="Times New Roman" w:hAnsi="Verdana" w:cs="Times New Roman"/>
          <w:b/>
          <w:sz w:val="20"/>
          <w:szCs w:val="20"/>
          <w:lang w:eastAsia="it-IT"/>
        </w:rPr>
        <w:t>6</w:t>
      </w:r>
      <w:bookmarkStart w:id="0" w:name="_GoBack"/>
      <w:bookmarkEnd w:id="0"/>
    </w:p>
    <w:p w:rsidR="00B5691E" w:rsidRPr="00B5691E" w:rsidRDefault="00B5691E" w:rsidP="00B5691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0175B" w:rsidRDefault="00B5691E" w:rsidP="00A0175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Verdana" w:eastAsia="Times New Roman" w:hAnsi="Verdana" w:cs="Arial"/>
          <w:sz w:val="16"/>
          <w:szCs w:val="16"/>
          <w:lang w:eastAsia="it-IT"/>
        </w:rPr>
      </w:pPr>
      <w:r w:rsidRPr="00B5691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D</w:t>
      </w:r>
      <w:r w:rsidRPr="00B5691E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ICHIARAZIONE SOSTITUTIVA </w:t>
      </w:r>
      <w:r w:rsidRPr="00B5691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ATTESTANTE L’ASSENZA DI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CAUSE OSTATIVE A CONTRARRE CON LA PUBBLICA AMMINISTRAZIONE</w:t>
      </w:r>
      <w:r w:rsidR="00A0175B" w:rsidRPr="00A0175B"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</w:p>
    <w:p w:rsidR="00B5691E" w:rsidRPr="00B5691E" w:rsidRDefault="00A0175B" w:rsidP="00A0175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Arial"/>
          <w:sz w:val="16"/>
          <w:szCs w:val="16"/>
          <w:lang w:eastAsia="it-IT"/>
        </w:rPr>
        <w:t>D</w:t>
      </w:r>
      <w:r w:rsidRPr="00A0175B">
        <w:rPr>
          <w:rFonts w:ascii="Verdana" w:eastAsia="Times New Roman" w:hAnsi="Verdana" w:cs="Arial"/>
          <w:sz w:val="16"/>
          <w:szCs w:val="16"/>
          <w:lang w:eastAsia="it-IT"/>
        </w:rPr>
        <w:t>ichiarazione necessaria per l’ammissione alla procedura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di gara</w:t>
      </w:r>
    </w:p>
    <w:p w:rsidR="00B5691E" w:rsidRPr="00B5691E" w:rsidRDefault="00B5691E" w:rsidP="00B5691E">
      <w:pPr>
        <w:widowControl w:val="0"/>
        <w:tabs>
          <w:tab w:val="right" w:leader="dot" w:pos="7360"/>
        </w:tabs>
        <w:spacing w:after="120" w:line="240" w:lineRule="auto"/>
        <w:jc w:val="both"/>
        <w:rPr>
          <w:rFonts w:ascii="Verdana" w:eastAsia="Times New Roman" w:hAnsi="Verdana" w:cs="Arial"/>
          <w:b/>
          <w:color w:val="1F4E79"/>
          <w:sz w:val="20"/>
          <w:szCs w:val="20"/>
          <w:lang w:eastAsia="it-IT"/>
        </w:rPr>
      </w:pPr>
    </w:p>
    <w:p w:rsidR="00B5691E" w:rsidRPr="00B5691E" w:rsidRDefault="00B5691E" w:rsidP="00B5691E">
      <w:pPr>
        <w:widowControl w:val="0"/>
        <w:tabs>
          <w:tab w:val="right" w:leader="dot" w:pos="7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Il sottoscritto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bookmarkEnd w:id="1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C.F.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nato 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il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residente in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via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proofErr w:type="spellStart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t>cap</w:t>
      </w:r>
      <w:proofErr w:type="spellEnd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nella sua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qualità di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e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legale rappresentante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dell’impresa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,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con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sede in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,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via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C.A.P.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 iscritta al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Registro delle Imprese di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al n.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, C.F.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, partita IVA n.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indirizzo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PEC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(di seguito denominato “</w:t>
      </w:r>
      <w:r w:rsidRPr="00B5691E">
        <w:rPr>
          <w:rFonts w:ascii="Verdana" w:eastAsia="Times New Roman" w:hAnsi="Verdana" w:cs="Arial"/>
          <w:bCs/>
          <w:i/>
          <w:sz w:val="20"/>
          <w:szCs w:val="20"/>
          <w:lang w:eastAsia="it-IT"/>
        </w:rPr>
        <w:t>operatore economico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”), </w:t>
      </w:r>
      <w:r w:rsidRPr="00B569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B5691E" w:rsidRPr="00B5691E" w:rsidRDefault="00B5691E" w:rsidP="00A0175B">
      <w:pPr>
        <w:widowControl w:val="0"/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it-IT"/>
        </w:rPr>
      </w:pP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B5691E">
        <w:rPr>
          <w:rFonts w:ascii="Verdana" w:eastAsia="Times New Roman" w:hAnsi="Verdana" w:cs="Arial"/>
          <w:i/>
          <w:sz w:val="20"/>
          <w:szCs w:val="20"/>
          <w:lang w:eastAsia="it-IT"/>
        </w:rPr>
        <w:t>operatore economico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decadrà dai benefici per i quali la stessa è rilasciata; </w:t>
      </w:r>
    </w:p>
    <w:p w:rsidR="00283E8C" w:rsidRDefault="00283E8C" w:rsidP="00283E8C">
      <w:pPr>
        <w:keepLines/>
        <w:widowControl w:val="0"/>
        <w:spacing w:after="12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highlight w:val="cyan"/>
          <w:lang w:eastAsia="x-none"/>
        </w:rPr>
      </w:pPr>
    </w:p>
    <w:p w:rsidR="00283E8C" w:rsidRPr="00283E8C" w:rsidRDefault="00283E8C" w:rsidP="00283E8C">
      <w:pPr>
        <w:keepLines/>
        <w:widowControl w:val="0"/>
        <w:spacing w:after="12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 w:rsidRPr="00283E8C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D</w:t>
      </w:r>
      <w:r w:rsidRPr="00283E8C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ICHIARA SOTTO LA PROPRIA RESPONSABILITÀ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aver subito negli ultimi tre anni risoluzioni in danno per contratti stipulati con Enti pubblici per inadempimenti contrattuali;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Di non essersi avvalsi di piani individuali di emersione di cui alla legge n. 383 del 2001; oppure di essersi avvalsi di piani individuali di emersione di cui alla legge n. 383 del 2001 ma che il periodo di emersione si è concluso; 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essere stati destinatari, nell’ultimo biennio, di provvedimenti interdettivi alla contrattazione con le pubbliche amministrazioni ed alla partecipazione a gare pubbliche, ai sensi dell’art.36-bis del D.L. 4/7/2006, n. 223 convertito in Legge 4/8/2006, n. 248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aver posto in essere atti o comportamenti discriminatori che, direttamente o indirettamente, abbiano comportato una distinzione, esclusione, restrizione o preferenza basata sulla razza, il colore, l'ascendenza o l'origine nazionale o etnica, le convinzioni e le pratiche religiose, e che abbia avuto lo scopo o l'effetto di distruggere o di compromettere il riconoscimento, il godimento o l'esercizio, in condizioni di parità, dei diritti umani e delle libertà fondamentali in campo politico, economico, sociale e culturale e in ogni altro settore della vita pubblica, accertati dall’autorità giudiziaria in base al combinato disposto degli artt. 43 e 44 del D.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Lgs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. n. 286/1998;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essere stati sottoposti a provvedimenti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interdittivi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 in base all’art. 41 del D.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Lgs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. n. 198/2006 determinati dall’accertamento di comportamenti discriminatori in violazione dei divieti previsti dagli articoli da 27 a 35 o per altri comportamenti discriminatori in violazione della disciplina delle pari opportunità tra uomo e donna prevista dallo stesso decreto;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Di applicare ai lavoratori dipendenti e anche ai soci condizioni normative e retributive non inferiori a quelle risultanti dai contratti di lavoro nazionali e locali, con l’impegno ad </w:t>
      </w:r>
      <w:r w:rsidRPr="00283E8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applicare, in caso di aggiudicazione, condizioni non inferiori a quelle previste nei summenzionati contratti per la località ove il servizio sarà svolto;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essere stati sottoposti, in base all’art. 36 della legge n. 300/1970, a provvedimenti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interdittivi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 determinati dall’accertamento della violazione dell'obbligo di applicare nei confronti dei lavoratori dipendenti condizioni non inferiori a quelle risultanti dai contratti collettivi di lavoro della categoria e della zona; 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essere stati sottoposti a provvedimento esecutivo per l’emissione di assegni bancari o postali senza autorizzazione del trattario per gli importi e alle condizioni previsti dall’art. 5, comma 2 della legge n. 386/1990, comportante l’incapacità di contrattare con la pubblica amministrazione; 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aver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comma 5, lettera c-bis);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aver dimostrato, nell’ultimo triennio, significative o persistenti carenze nell'esecuzione di un precedente contratto di appalto o di concessione che ne hanno causato la risoluzione per inadempimento ovvero la condanna al risarcimento del danno o altre sanzioni comparabili (art. 80, comma 5 lettera c-ter);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Di non aver commesso grave inadempimento nei confronti di uno o più subappaltatori, riconosciuto o accertato con sentenza passata in giudicato (art. 80 comma 5 lettera c-quater); 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Che l’offerta economica presentata è remunerativa giacché per la sua formulazione ha preso atto e tenuto conto:</w:t>
      </w:r>
    </w:p>
    <w:p w:rsidR="00283E8C" w:rsidRPr="00283E8C" w:rsidRDefault="00283E8C" w:rsidP="00283E8C">
      <w:pPr>
        <w:numPr>
          <w:ilvl w:val="1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283E8C" w:rsidRPr="00283E8C" w:rsidRDefault="00283E8C" w:rsidP="00283E8C">
      <w:pPr>
        <w:numPr>
          <w:ilvl w:val="1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283E8C" w:rsidRPr="00C6685C" w:rsidRDefault="00283E8C" w:rsidP="00283E8C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83E8C">
        <w:rPr>
          <w:rFonts w:ascii="Verdana" w:eastAsia="Calibri" w:hAnsi="Verdana" w:cs="Times New Roman"/>
          <w:sz w:val="20"/>
          <w:szCs w:val="20"/>
          <w:lang w:eastAsia="it-IT"/>
        </w:rPr>
        <w:t>accetta, senza condizione o riserva alcuna, tutte le norme e disposizioni contenute nella documentazione gara;</w:t>
      </w:r>
    </w:p>
    <w:p w:rsidR="00C6685C" w:rsidRPr="00283E8C" w:rsidRDefault="00C6685C" w:rsidP="00C6685C">
      <w:pPr>
        <w:spacing w:after="0"/>
        <w:ind w:left="720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283E8C" w:rsidRDefault="00283E8C" w:rsidP="00283E8C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Inoltre:</w:t>
      </w:r>
    </w:p>
    <w:p w:rsidR="00C6685C" w:rsidRPr="00283E8C" w:rsidRDefault="00C6685C" w:rsidP="00283E8C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283E8C" w:rsidRPr="00283E8C" w:rsidRDefault="00283E8C" w:rsidP="00283E8C">
      <w:pPr>
        <w:spacing w:after="0"/>
        <w:jc w:val="both"/>
        <w:rPr>
          <w:rFonts w:ascii="Verdana" w:eastAsia="Calibri" w:hAnsi="Verdana" w:cs="Calibri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b/>
          <w:sz w:val="20"/>
          <w:szCs w:val="20"/>
          <w:lang w:eastAsia="it-IT"/>
        </w:rPr>
        <w:t>INDICA</w:t>
      </w: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>i seguenti dati: domicilio fiscale; codice fiscale; partita IVA; indica l’indirizzo PEC ai fini delle comunicazioni di cui all’art. 76, comma 5 del Codice;</w:t>
      </w:r>
    </w:p>
    <w:p w:rsidR="00283E8C" w:rsidRPr="00283E8C" w:rsidRDefault="00283E8C" w:rsidP="00283E8C">
      <w:pPr>
        <w:spacing w:after="0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  <w:r w:rsidRPr="00283E8C">
        <w:rPr>
          <w:rFonts w:ascii="Verdana" w:eastAsia="Calibri" w:hAnsi="Verdana" w:cs="Calibri"/>
          <w:b/>
          <w:sz w:val="20"/>
          <w:szCs w:val="20"/>
          <w:lang w:eastAsia="it-IT"/>
        </w:rPr>
        <w:t>ATTESTA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di aver preso visione dell’Informativa sul trattamento dei dati personali ai sensi e per gli effetti del Regolamento UE 2016/679;</w:t>
      </w: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83E8C" w:rsidRPr="00283E8C" w:rsidRDefault="00283E8C" w:rsidP="00283E8C">
      <w:pPr>
        <w:keepNext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283E8C">
        <w:rPr>
          <w:rFonts w:ascii="Verdana" w:eastAsia="Times New Roman" w:hAnsi="Verdana" w:cs="Calibri"/>
          <w:sz w:val="16"/>
          <w:szCs w:val="16"/>
        </w:rPr>
        <w:t>(Per gli operatori economici ammessi al concordato preventivo con continuità aziendale di cui all’art. 186 bis del R.D. 16 marzo 1942, n. 267)</w:t>
      </w: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  <w:r w:rsidRPr="00283E8C">
        <w:rPr>
          <w:rFonts w:ascii="Verdana" w:eastAsia="Calibri" w:hAnsi="Verdana" w:cs="Calibri"/>
          <w:b/>
          <w:sz w:val="20"/>
          <w:szCs w:val="20"/>
          <w:lang w:eastAsia="it-IT"/>
        </w:rPr>
        <w:t>INDICA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, ad integrazione di quanto indicato nella parte  III, sez. C, </w:t>
      </w:r>
      <w:proofErr w:type="spellStart"/>
      <w:r w:rsidRPr="00283E8C">
        <w:rPr>
          <w:rFonts w:ascii="Verdana" w:eastAsia="Calibri" w:hAnsi="Verdana" w:cs="Calibri"/>
          <w:sz w:val="20"/>
          <w:szCs w:val="20"/>
          <w:lang w:eastAsia="it-IT"/>
        </w:rPr>
        <w:t>lett</w:t>
      </w:r>
      <w:proofErr w:type="spellEnd"/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. d) del DGUE, i seguenti </w:t>
      </w:r>
      <w:r w:rsidRPr="00283E8C">
        <w:rPr>
          <w:rFonts w:ascii="Verdana" w:eastAsia="Calibri" w:hAnsi="Verdana" w:cs="Garamond"/>
          <w:sz w:val="20"/>
          <w:szCs w:val="20"/>
          <w:lang w:eastAsia="it-IT"/>
        </w:rPr>
        <w:t xml:space="preserve"> estremi del </w:t>
      </w:r>
      <w:r w:rsidRPr="00283E8C">
        <w:rPr>
          <w:rFonts w:ascii="Verdana" w:eastAsia="Calibri" w:hAnsi="Verdana" w:cs="Garamond-Italic"/>
          <w:iCs/>
          <w:sz w:val="20"/>
          <w:szCs w:val="20"/>
          <w:lang w:eastAsia="it-IT"/>
        </w:rPr>
        <w:t>provvedimento di ammissione al concordato e del provvedimento di autorizzazione a partecipare alle gare ………… rilasciati dal Tribunale di  ………………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nonché </w:t>
      </w:r>
      <w:r w:rsidRPr="00283E8C">
        <w:rPr>
          <w:rFonts w:ascii="Verdana" w:eastAsia="Calibri" w:hAnsi="Verdana" w:cs="Calibri"/>
          <w:b/>
          <w:sz w:val="20"/>
          <w:szCs w:val="20"/>
          <w:lang w:eastAsia="it-IT"/>
        </w:rPr>
        <w:t>DICHIARA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di non partecipare alla gara quale mandataria di un raggruppamento temporaneo di imprese e che le altre imprese aderenti al raggruppamento non sono assoggettate ad una procedura concorsuale ai sensi dell’art. 186  </w:t>
      </w:r>
      <w:r w:rsidRPr="00283E8C">
        <w:rPr>
          <w:rFonts w:ascii="Verdana" w:eastAsia="Calibri" w:hAnsi="Verdana" w:cs="Calibri"/>
          <w:i/>
          <w:sz w:val="20"/>
          <w:szCs w:val="20"/>
          <w:lang w:eastAsia="it-IT"/>
        </w:rPr>
        <w:t>bis,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comma 6 del R.D. 16 marzo 1942, n. 267.</w:t>
      </w: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83E8C" w:rsidRDefault="00283E8C" w:rsidP="00283E8C">
      <w:pPr>
        <w:jc w:val="center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Documento informatico firmato digitalmente ai sensi del testo unico D.P.R. 28 dicembre 2000, n.445, del </w:t>
      </w:r>
      <w:proofErr w:type="spellStart"/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>D.Lgs.</w:t>
      </w:r>
      <w:proofErr w:type="spellEnd"/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7 marzo 2005, n.82 e norme collegate</w:t>
      </w:r>
    </w:p>
    <w:p w:rsidR="00283E8C" w:rsidRDefault="00283E8C" w:rsidP="00290AD7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90AD7" w:rsidRPr="004A3687" w:rsidRDefault="00290AD7" w:rsidP="00290AD7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sectPr w:rsidR="00290AD7" w:rsidRPr="004A3687" w:rsidSect="00290AD7">
      <w:headerReference w:type="default" r:id="rId8"/>
      <w:footerReference w:type="default" r:id="rId9"/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31" w:rsidRDefault="00B05831" w:rsidP="00B05831">
      <w:pPr>
        <w:spacing w:after="0" w:line="240" w:lineRule="auto"/>
      </w:pPr>
      <w:r>
        <w:separator/>
      </w:r>
    </w:p>
  </w:endnote>
  <w:endnote w:type="continuationSeparator" w:id="0">
    <w:p w:rsidR="00B05831" w:rsidRDefault="00B05831" w:rsidP="00B0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31" w:rsidRDefault="00B05831" w:rsidP="00B05831">
    <w:pPr>
      <w:pStyle w:val="Intestazione"/>
      <w:jc w:val="right"/>
      <w:rPr>
        <w:sz w:val="18"/>
        <w:szCs w:val="18"/>
      </w:rPr>
    </w:pPr>
  </w:p>
  <w:p w:rsidR="00B05831" w:rsidRPr="00B05831" w:rsidRDefault="00B05831" w:rsidP="00B05831">
    <w:pPr>
      <w:pStyle w:val="Intestazione"/>
      <w:rPr>
        <w:sz w:val="18"/>
        <w:szCs w:val="18"/>
      </w:rPr>
    </w:pPr>
    <w:r w:rsidRPr="00B05831">
      <w:rPr>
        <w:sz w:val="18"/>
        <w:szCs w:val="18"/>
      </w:rPr>
      <w:t>Dichiarazione possesso requisiti di ordine generale</w:t>
    </w:r>
  </w:p>
  <w:p w:rsidR="00B05831" w:rsidRDefault="00B058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31" w:rsidRDefault="00B05831" w:rsidP="00B05831">
      <w:pPr>
        <w:spacing w:after="0" w:line="240" w:lineRule="auto"/>
      </w:pPr>
      <w:r>
        <w:separator/>
      </w:r>
    </w:p>
  </w:footnote>
  <w:footnote w:type="continuationSeparator" w:id="0">
    <w:p w:rsidR="00B05831" w:rsidRDefault="00B05831" w:rsidP="00B0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31" w:rsidRDefault="00B05831" w:rsidP="00B05831">
    <w:pPr>
      <w:jc w:val="right"/>
    </w:pPr>
    <w:r>
      <w:t>Allegato n.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42"/>
    <w:multiLevelType w:val="hybridMultilevel"/>
    <w:tmpl w:val="1B54E88C"/>
    <w:lvl w:ilvl="0" w:tplc="2180A308">
      <w:numFmt w:val="bullet"/>
      <w:lvlText w:val="-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68B"/>
    <w:multiLevelType w:val="hybridMultilevel"/>
    <w:tmpl w:val="80DC0AC2"/>
    <w:lvl w:ilvl="0" w:tplc="FD649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87D"/>
    <w:multiLevelType w:val="hybridMultilevel"/>
    <w:tmpl w:val="470ABE0A"/>
    <w:lvl w:ilvl="0" w:tplc="FD649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14D5"/>
    <w:multiLevelType w:val="hybridMultilevel"/>
    <w:tmpl w:val="D38071AE"/>
    <w:lvl w:ilvl="0" w:tplc="10F4E878">
      <w:numFmt w:val="bullet"/>
      <w:lvlText w:val="-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610C"/>
    <w:multiLevelType w:val="hybridMultilevel"/>
    <w:tmpl w:val="1FECE9F8"/>
    <w:lvl w:ilvl="0" w:tplc="E21872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63F1D"/>
    <w:multiLevelType w:val="hybridMultilevel"/>
    <w:tmpl w:val="064C07DE"/>
    <w:lvl w:ilvl="0" w:tplc="E21872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308B"/>
    <w:multiLevelType w:val="hybridMultilevel"/>
    <w:tmpl w:val="077C9AAC"/>
    <w:lvl w:ilvl="0" w:tplc="FD649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2D8"/>
    <w:multiLevelType w:val="hybridMultilevel"/>
    <w:tmpl w:val="A2A4F2EE"/>
    <w:lvl w:ilvl="0" w:tplc="FD649566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E"/>
    <w:rsid w:val="00050EAE"/>
    <w:rsid w:val="00077A84"/>
    <w:rsid w:val="000C5C84"/>
    <w:rsid w:val="00283E8C"/>
    <w:rsid w:val="00290AD7"/>
    <w:rsid w:val="002B4698"/>
    <w:rsid w:val="007B6F52"/>
    <w:rsid w:val="008947D9"/>
    <w:rsid w:val="008D6547"/>
    <w:rsid w:val="009C160B"/>
    <w:rsid w:val="00A0175B"/>
    <w:rsid w:val="00B05831"/>
    <w:rsid w:val="00B35A09"/>
    <w:rsid w:val="00B5691E"/>
    <w:rsid w:val="00C63839"/>
    <w:rsid w:val="00C6685C"/>
    <w:rsid w:val="00C869D3"/>
    <w:rsid w:val="00D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49C561"/>
  <w15:chartTrackingRefBased/>
  <w15:docId w15:val="{4687764E-0284-4BB6-A841-2BA7FBBF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831"/>
  </w:style>
  <w:style w:type="paragraph" w:styleId="Pidipagina">
    <w:name w:val="footer"/>
    <w:basedOn w:val="Normale"/>
    <w:link w:val="PidipaginaCarattere"/>
    <w:uiPriority w:val="99"/>
    <w:unhideWhenUsed/>
    <w:rsid w:val="00B0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831"/>
  </w:style>
  <w:style w:type="paragraph" w:styleId="Paragrafoelenco">
    <w:name w:val="List Paragraph"/>
    <w:basedOn w:val="Normale"/>
    <w:uiPriority w:val="34"/>
    <w:qFormat/>
    <w:rsid w:val="00A0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Signoroni</dc:creator>
  <cp:keywords/>
  <dc:description/>
  <cp:lastModifiedBy>Milena Brescianini</cp:lastModifiedBy>
  <cp:revision>15</cp:revision>
  <cp:lastPrinted>2020-01-17T11:27:00Z</cp:lastPrinted>
  <dcterms:created xsi:type="dcterms:W3CDTF">2018-08-21T12:36:00Z</dcterms:created>
  <dcterms:modified xsi:type="dcterms:W3CDTF">2020-04-24T09:20:00Z</dcterms:modified>
</cp:coreProperties>
</file>